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8A" w:rsidRPr="001C30E3" w:rsidRDefault="00F4020A" w:rsidP="00A2178A">
      <w:pPr>
        <w:ind w:left="7080" w:firstLine="708"/>
        <w:rPr>
          <w:b/>
          <w:bCs/>
        </w:rPr>
      </w:pPr>
      <w:r>
        <w:rPr>
          <w:b/>
          <w:bCs/>
        </w:rPr>
        <w:t>VEDLEGG 2</w:t>
      </w:r>
      <w:bookmarkStart w:id="0" w:name="_GoBack"/>
      <w:bookmarkEnd w:id="0"/>
    </w:p>
    <w:p w:rsidR="00A2178A" w:rsidRPr="00771753" w:rsidRDefault="00A2178A" w:rsidP="00A2178A">
      <w:pPr>
        <w:rPr>
          <w:bCs/>
          <w:u w:val="single"/>
        </w:rPr>
      </w:pPr>
      <w:r>
        <w:rPr>
          <w:bCs/>
          <w:u w:val="single"/>
        </w:rPr>
        <w:t>U</w:t>
      </w:r>
      <w:r w:rsidRPr="00771753">
        <w:rPr>
          <w:bCs/>
          <w:u w:val="single"/>
        </w:rPr>
        <w:t>t</w:t>
      </w:r>
      <w:r w:rsidR="005A03C3">
        <w:rPr>
          <w:bCs/>
          <w:u w:val="single"/>
        </w:rPr>
        <w:t>t</w:t>
      </w:r>
      <w:r w:rsidRPr="00771753">
        <w:rPr>
          <w:bCs/>
          <w:u w:val="single"/>
        </w:rPr>
        <w:t>a</w:t>
      </w:r>
      <w:r w:rsidR="005A03C3">
        <w:rPr>
          <w:bCs/>
          <w:u w:val="single"/>
        </w:rPr>
        <w:t>lel</w:t>
      </w:r>
      <w:r w:rsidRPr="00771753">
        <w:rPr>
          <w:bCs/>
          <w:u w:val="single"/>
        </w:rPr>
        <w:t>se</w:t>
      </w:r>
      <w:r w:rsidR="005A03C3">
        <w:rPr>
          <w:bCs/>
          <w:u w:val="single"/>
        </w:rPr>
        <w:t>ne</w:t>
      </w:r>
      <w:r w:rsidRPr="00771753">
        <w:rPr>
          <w:bCs/>
          <w:u w:val="single"/>
        </w:rPr>
        <w:t xml:space="preserve"> fra Rogaland brann- og redning:</w:t>
      </w:r>
    </w:p>
    <w:p w:rsidR="00A2178A" w:rsidRPr="00771753" w:rsidRDefault="00A2178A" w:rsidP="00A2178A">
      <w:pPr>
        <w:spacing w:after="0"/>
        <w:rPr>
          <w:i/>
        </w:rPr>
      </w:pPr>
      <w:r w:rsidRPr="00771753">
        <w:rPr>
          <w:i/>
        </w:rPr>
        <w:t xml:space="preserve">I 2011 ble </w:t>
      </w:r>
      <w:proofErr w:type="spellStart"/>
      <w:r w:rsidRPr="00771753">
        <w:rPr>
          <w:i/>
        </w:rPr>
        <w:t>NBLFs</w:t>
      </w:r>
      <w:proofErr w:type="spellEnd"/>
      <w:r w:rsidRPr="00771753">
        <w:rPr>
          <w:i/>
        </w:rPr>
        <w:t xml:space="preserve"> toårige </w:t>
      </w:r>
      <w:proofErr w:type="spellStart"/>
      <w:r w:rsidRPr="00771753">
        <w:rPr>
          <w:i/>
        </w:rPr>
        <w:t>eldreprosjektet</w:t>
      </w:r>
      <w:proofErr w:type="spellEnd"/>
      <w:r w:rsidRPr="00771753">
        <w:rPr>
          <w:i/>
        </w:rPr>
        <w:t xml:space="preserve"> avsluttet. Brannvesenet Sør-Rogaland (Nå Rogaland brann- og redning IKS(RBR)) deltok i dette fra oppstart i 2009. I januar 2012 kom NOU 2012:4 Trygg hjemme – brannsikkerhet for utsatte grupper (heretter kalt NOU 2012:4 Trygg hjemme). NOU 2012:4 Trygg hjemme gir god kunnskap om hvor brannrisikoen er størst og mulige tiltak og barrierer som kan settes inn for å redusere risikoen. Fra 2012 ble prosjektet satt i drift i RBR. Dette er nå tatt enda et skritt videre med å etablere fagansvarlig for arbeidet rettet mot risikogrupper, og innbefatter nå ikke bare eldre som risikogruppe, men også personer med rus- og/eller psykiatriproblematikk, pleietrengende og flyktninger/asylsøkere/arbeidsinnvandrere. </w:t>
      </w:r>
    </w:p>
    <w:p w:rsidR="00A2178A" w:rsidRPr="00771753" w:rsidRDefault="00A2178A" w:rsidP="00A2178A">
      <w:pPr>
        <w:spacing w:after="0"/>
        <w:rPr>
          <w:i/>
        </w:rPr>
      </w:pPr>
      <w:r w:rsidRPr="00771753">
        <w:rPr>
          <w:i/>
        </w:rPr>
        <w:t>Brannstatistikken viser hvilken retning brannforebyggende arbeid må dreies mot.</w:t>
      </w:r>
    </w:p>
    <w:p w:rsidR="00A2178A" w:rsidRPr="00771753" w:rsidRDefault="00A2178A" w:rsidP="00A2178A">
      <w:pPr>
        <w:spacing w:after="0"/>
        <w:rPr>
          <w:b/>
          <w:bCs/>
          <w:i/>
        </w:rPr>
      </w:pPr>
      <w:r w:rsidRPr="00771753">
        <w:rPr>
          <w:b/>
          <w:bCs/>
          <w:i/>
        </w:rPr>
        <w:t>Norge:</w:t>
      </w:r>
    </w:p>
    <w:p w:rsidR="00A2178A" w:rsidRPr="00771753" w:rsidRDefault="00A2178A" w:rsidP="00A2178A">
      <w:pPr>
        <w:spacing w:after="0"/>
        <w:rPr>
          <w:i/>
        </w:rPr>
      </w:pPr>
      <w:r w:rsidRPr="00771753">
        <w:rPr>
          <w:i/>
        </w:rPr>
        <w:t>50 -70 brannomkomne årlig</w:t>
      </w:r>
    </w:p>
    <w:p w:rsidR="00A2178A" w:rsidRPr="00771753" w:rsidRDefault="00A2178A" w:rsidP="00A2178A">
      <w:pPr>
        <w:spacing w:after="0"/>
        <w:rPr>
          <w:i/>
        </w:rPr>
      </w:pPr>
      <w:r w:rsidRPr="00771753">
        <w:rPr>
          <w:i/>
        </w:rPr>
        <w:t>8 av 10 omkommer i hjemmet</w:t>
      </w:r>
    </w:p>
    <w:p w:rsidR="00A2178A" w:rsidRPr="00771753" w:rsidRDefault="00A2178A" w:rsidP="00A2178A">
      <w:pPr>
        <w:spacing w:after="0"/>
        <w:rPr>
          <w:i/>
        </w:rPr>
      </w:pPr>
      <w:r w:rsidRPr="00771753">
        <w:rPr>
          <w:i/>
        </w:rPr>
        <w:t>2013 - 61 brannomkomne i Norge – ca. 66% av disse tilhørte risikogruppene.</w:t>
      </w:r>
    </w:p>
    <w:p w:rsidR="00A2178A" w:rsidRPr="00771753" w:rsidRDefault="00A2178A" w:rsidP="00A2178A">
      <w:pPr>
        <w:spacing w:after="0"/>
        <w:rPr>
          <w:i/>
        </w:rPr>
      </w:pPr>
      <w:r w:rsidRPr="00771753">
        <w:rPr>
          <w:i/>
        </w:rPr>
        <w:t>2014 – 54 brannomkomne i Norge – ca. 80% av disse tilhørte risikogruppene.</w:t>
      </w:r>
    </w:p>
    <w:p w:rsidR="00A2178A" w:rsidRPr="00771753" w:rsidRDefault="00A2178A" w:rsidP="00A2178A">
      <w:pPr>
        <w:spacing w:after="0"/>
        <w:rPr>
          <w:b/>
          <w:bCs/>
          <w:i/>
        </w:rPr>
      </w:pPr>
    </w:p>
    <w:p w:rsidR="00A2178A" w:rsidRPr="00771753" w:rsidRDefault="00A2178A" w:rsidP="00A2178A">
      <w:pPr>
        <w:spacing w:after="0"/>
        <w:rPr>
          <w:b/>
          <w:bCs/>
          <w:i/>
        </w:rPr>
      </w:pPr>
      <w:r w:rsidRPr="00771753">
        <w:rPr>
          <w:b/>
          <w:bCs/>
          <w:i/>
        </w:rPr>
        <w:t>Rogaland brann og redning IKS sitt ansvarsområdet.</w:t>
      </w:r>
    </w:p>
    <w:p w:rsidR="00A2178A" w:rsidRPr="00771753" w:rsidRDefault="00A2178A" w:rsidP="00A2178A">
      <w:pPr>
        <w:spacing w:after="0"/>
        <w:rPr>
          <w:i/>
        </w:rPr>
      </w:pPr>
      <w:r w:rsidRPr="00771753">
        <w:rPr>
          <w:i/>
        </w:rPr>
        <w:t>20 omkomne de siste 10 årene. 7 omkomne i 2014.</w:t>
      </w:r>
    </w:p>
    <w:p w:rsidR="00A2178A" w:rsidRPr="00771753" w:rsidRDefault="00A2178A" w:rsidP="00A2178A">
      <w:pPr>
        <w:spacing w:after="0"/>
        <w:rPr>
          <w:i/>
        </w:rPr>
      </w:pPr>
    </w:p>
    <w:p w:rsidR="00A2178A" w:rsidRPr="00771753" w:rsidRDefault="00A2178A" w:rsidP="00A2178A">
      <w:pPr>
        <w:spacing w:after="0"/>
        <w:rPr>
          <w:i/>
        </w:rPr>
      </w:pPr>
      <w:r w:rsidRPr="00771753">
        <w:rPr>
          <w:i/>
        </w:rPr>
        <w:t>Arbeidet opp imot risikogrupper kommer til å bli en av RBR største utfordring i fremtiden, dersom ikke andre offentlige instanser opplever eierskap til å sikre utsatte grupper</w:t>
      </w:r>
    </w:p>
    <w:p w:rsidR="00A2178A" w:rsidRPr="00771753" w:rsidRDefault="00A2178A" w:rsidP="00A2178A">
      <w:pPr>
        <w:spacing w:after="0"/>
        <w:rPr>
          <w:i/>
        </w:rPr>
      </w:pPr>
    </w:p>
    <w:p w:rsidR="00A2178A" w:rsidRPr="00771753" w:rsidRDefault="00A2178A" w:rsidP="00A2178A">
      <w:pPr>
        <w:spacing w:after="0"/>
        <w:rPr>
          <w:b/>
          <w:bCs/>
          <w:i/>
        </w:rPr>
      </w:pPr>
      <w:r w:rsidRPr="00771753">
        <w:rPr>
          <w:b/>
          <w:bCs/>
          <w:i/>
        </w:rPr>
        <w:t>Brannsikringsarbeid opp mot utsatte grupper må forankres i kommunene.</w:t>
      </w:r>
    </w:p>
    <w:p w:rsidR="00A2178A" w:rsidRDefault="00A2178A" w:rsidP="00A2178A">
      <w:pPr>
        <w:spacing w:after="0"/>
        <w:rPr>
          <w:i/>
        </w:rPr>
      </w:pPr>
      <w:r w:rsidRPr="00771753">
        <w:rPr>
          <w:i/>
        </w:rPr>
        <w:t xml:space="preserve">RBR ønsker at arbeidet med Trygg hjemme skal forankres tydeligere og høyere opp i kommunene. Dette er avgjørende for å etablere gode samarbeidsløsninger mellom ulike kommunale tjenester. Gjennom å forplikte de involverte aktørene i samarbeidet, vil det sikre involvering og tilstrekkelig oppmerksomhet om arbeidet. Formell forankring er også en forutsetning for prioritering av ressurser og økonomi til gjennomføring av tiltak. Dette er blitt gjort med stort hell i andre kommuner (for eksempel Asker og Bærum, Fredrikstad, Oslo og Trondheim), og er også en av de sterkeste anbefalingene i en ny rapport fra DSB («Brannsikkerhet for risikoutsatte grupper», november 2014).  Dette fastslås veldig tydelig i denne rapporten fra DSB, som ble sendt til JD i november 2014. «Arbeidsgruppens generelle anbefaling er dermed at kommunene sørger for at samarbeidet får formell forankring i kommunens øverste ledelse og på underliggende nivåer, og at oppgaver og ansvar avklares og formidles (DSB, 2014).» Én av arbeidsgruppens oppgaver var å vurdere «NOU 2012:4 Trygg </w:t>
      </w:r>
      <w:proofErr w:type="spellStart"/>
      <w:r w:rsidRPr="00771753">
        <w:rPr>
          <w:i/>
        </w:rPr>
        <w:t>hjemmes</w:t>
      </w:r>
      <w:proofErr w:type="spellEnd"/>
      <w:r w:rsidRPr="00771753">
        <w:rPr>
          <w:i/>
        </w:rPr>
        <w:t xml:space="preserve">» forslag til lovendring om å tydeliggjøre kommunenes ansvar i arbeidet med risikoutsatte grupper. Arbeidsgruppens konklusjon er at gjeldende helseregelverk allerede er så tydelig på kommunenes ansvar for skadeforebygging at en ytterligere presisering ikke er nødvendig. «I praksis innebærer reglene at helse- og omsorgssektoren både må bidra til forebygging av brann i forbindelse med sin vurdering av tiltak til risikoutsatte </w:t>
      </w:r>
      <w:r w:rsidRPr="00771753">
        <w:rPr>
          <w:i/>
          <w:iCs/>
        </w:rPr>
        <w:t xml:space="preserve">individer </w:t>
      </w:r>
      <w:r w:rsidRPr="00771753">
        <w:rPr>
          <w:i/>
        </w:rPr>
        <w:t xml:space="preserve">som mottar helse- og omsorgstjenester, og i forbindelse med det </w:t>
      </w:r>
      <w:r w:rsidRPr="00771753">
        <w:rPr>
          <w:i/>
          <w:iCs/>
        </w:rPr>
        <w:t xml:space="preserve">generelle </w:t>
      </w:r>
      <w:r w:rsidRPr="00771753">
        <w:rPr>
          <w:i/>
        </w:rPr>
        <w:t xml:space="preserve">folkehelsearbeidet. Reglene i seg selv er dermed egnet til å støtte opp under samarbeidet på dette området i kommunene (DSB, 2014).» Det fins dermed gode argumenter for at kommunene skal forplikte seg mer aktivt i det brannforebyggende arbeidet opp mot risikoutsatte grupper. </w:t>
      </w:r>
    </w:p>
    <w:p w:rsidR="00A2178A" w:rsidRPr="00771753" w:rsidRDefault="00A2178A" w:rsidP="00A2178A">
      <w:pPr>
        <w:spacing w:after="0"/>
        <w:rPr>
          <w:i/>
          <w:sz w:val="24"/>
          <w:szCs w:val="24"/>
        </w:rPr>
      </w:pPr>
    </w:p>
    <w:p w:rsidR="00A2178A" w:rsidRPr="00771753" w:rsidRDefault="00A2178A" w:rsidP="00A2178A">
      <w:pPr>
        <w:spacing w:after="0"/>
        <w:rPr>
          <w:b/>
          <w:bCs/>
          <w:i/>
        </w:rPr>
      </w:pPr>
      <w:r w:rsidRPr="00771753">
        <w:rPr>
          <w:b/>
          <w:bCs/>
          <w:i/>
        </w:rPr>
        <w:t>Hvilke utfordringer/erfaringer har vi gjort oss gjennom hospitering i våre eier kommuner:</w:t>
      </w:r>
    </w:p>
    <w:p w:rsidR="00A2178A" w:rsidRPr="00771753" w:rsidRDefault="00A2178A" w:rsidP="00A2178A">
      <w:pPr>
        <w:pStyle w:val="Listeavsnitt"/>
        <w:numPr>
          <w:ilvl w:val="0"/>
          <w:numId w:val="1"/>
        </w:numPr>
        <w:spacing w:after="0" w:line="240" w:lineRule="auto"/>
        <w:contextualSpacing w:val="0"/>
        <w:rPr>
          <w:i/>
        </w:rPr>
      </w:pPr>
      <w:r w:rsidRPr="00771753">
        <w:rPr>
          <w:i/>
        </w:rPr>
        <w:t xml:space="preserve">At det ikke er forankret i kommunene, og at det er drevet av tilfeldige ildsjeler som ser viktigheten av dette arbeidet. </w:t>
      </w:r>
    </w:p>
    <w:p w:rsidR="00A2178A" w:rsidRPr="00771753" w:rsidRDefault="00A2178A" w:rsidP="00A2178A">
      <w:pPr>
        <w:pStyle w:val="Listeavsnitt"/>
        <w:numPr>
          <w:ilvl w:val="0"/>
          <w:numId w:val="1"/>
        </w:numPr>
        <w:spacing w:after="0" w:line="240" w:lineRule="auto"/>
        <w:contextualSpacing w:val="0"/>
        <w:rPr>
          <w:i/>
        </w:rPr>
      </w:pPr>
      <w:r w:rsidRPr="00771753">
        <w:rPr>
          <w:i/>
        </w:rPr>
        <w:t xml:space="preserve">Dersom det avdekkes manglende brannsikkerhet hos brukerne, finnes det ikke midler til tiltak som kan redusere brannrisikoen. </w:t>
      </w:r>
    </w:p>
    <w:p w:rsidR="00A2178A" w:rsidRDefault="00A2178A" w:rsidP="00A2178A">
      <w:pPr>
        <w:spacing w:before="240" w:after="0"/>
        <w:rPr>
          <w:b/>
          <w:bCs/>
          <w:i/>
        </w:rPr>
      </w:pPr>
      <w:r w:rsidRPr="00771753">
        <w:rPr>
          <w:b/>
          <w:bCs/>
          <w:i/>
        </w:rPr>
        <w:t>Behovet for brannsikre boliger er tilstede når vi ser på hvem som omkommer i brann.</w:t>
      </w:r>
    </w:p>
    <w:p w:rsidR="00446E7A" w:rsidRDefault="00F4020A"/>
    <w:sectPr w:rsidR="00446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557AF"/>
    <w:multiLevelType w:val="hybridMultilevel"/>
    <w:tmpl w:val="93EA2092"/>
    <w:lvl w:ilvl="0" w:tplc="469C467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44"/>
    <w:rsid w:val="00060844"/>
    <w:rsid w:val="001C30E3"/>
    <w:rsid w:val="00402690"/>
    <w:rsid w:val="005A03C3"/>
    <w:rsid w:val="007722DB"/>
    <w:rsid w:val="00A2178A"/>
    <w:rsid w:val="00BF6215"/>
    <w:rsid w:val="00F402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448E2-2435-414B-9D82-10B00E8D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8A"/>
    <w:pPr>
      <w:spacing w:after="200" w:line="276"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2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02AC-B570-4EF7-973F-B3B16F98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3127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Sviland, Tone S.</dc:creator>
  <cp:keywords/>
  <dc:description/>
  <cp:lastModifiedBy>Sviland, Tone S.</cp:lastModifiedBy>
  <cp:revision>7</cp:revision>
  <dcterms:created xsi:type="dcterms:W3CDTF">2015-08-17T06:41:00Z</dcterms:created>
  <dcterms:modified xsi:type="dcterms:W3CDTF">2015-08-17T07:50:00Z</dcterms:modified>
</cp:coreProperties>
</file>